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РОСТ</w:t>
      </w:r>
      <w:r>
        <w:rPr>
          <w:rFonts w:cs="Times New Roman" w:ascii="Times New Roman" w:hAnsi="Times New Roman"/>
          <w:b/>
          <w:bCs/>
          <w:sz w:val="28"/>
          <w:szCs w:val="28"/>
        </w:rPr>
        <w:t>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«</w:t>
      </w:r>
      <w:r>
        <w:rPr>
          <w:rFonts w:cs="Times New Roman" w:ascii="Times New Roman" w:hAnsi="Times New Roman"/>
          <w:sz w:val="28"/>
          <w:szCs w:val="28"/>
          <w:highlight w:val="white"/>
        </w:rPr>
        <w:t>12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» </w:t>
      </w:r>
      <w:r>
        <w:rPr>
          <w:rFonts w:cs="Times New Roman" w:ascii="Times New Roman" w:hAnsi="Times New Roman"/>
          <w:sz w:val="28"/>
          <w:szCs w:val="28"/>
          <w:highlight w:val="white"/>
        </w:rPr>
        <w:t>декабря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2022г.                             № </w:t>
      </w:r>
      <w:r>
        <w:rPr>
          <w:rFonts w:cs="Times New Roman" w:ascii="Times New Roman" w:hAnsi="Times New Roman"/>
          <w:sz w:val="28"/>
          <w:szCs w:val="28"/>
          <w:highlight w:val="white"/>
        </w:rPr>
        <w:t>250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2023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Специалист первой категории по благоустройству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Круду Е</w:t>
      </w:r>
      <w:r>
        <w:rPr>
          <w:rFonts w:cs="Times New Roman" w:ascii="Times New Roman" w:hAnsi="Times New Roman"/>
        </w:rPr>
        <w:t>лена Николаевна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bookmarkStart w:id="0" w:name="__DdeLink__367_3800544379"/>
      <w:bookmarkEnd w:id="0"/>
      <w:r>
        <w:rPr>
          <w:rStyle w:val="FontStyle12"/>
          <w:rFonts w:eastAsia="Times New Roman"/>
          <w:sz w:val="28"/>
          <w:szCs w:val="28"/>
          <w:highlight w:val="white"/>
        </w:rPr>
        <w:t>от «</w:t>
      </w:r>
      <w:r>
        <w:rPr>
          <w:rStyle w:val="FontStyle12"/>
          <w:rFonts w:eastAsia="Times New Roman"/>
          <w:sz w:val="28"/>
          <w:szCs w:val="28"/>
          <w:highlight w:val="white"/>
        </w:rPr>
        <w:t>12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» </w:t>
      </w:r>
      <w:r>
        <w:rPr>
          <w:rStyle w:val="FontStyle12"/>
          <w:rFonts w:eastAsia="Times New Roman"/>
          <w:sz w:val="28"/>
          <w:szCs w:val="28"/>
          <w:highlight w:val="white"/>
        </w:rPr>
        <w:t>декабря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 2022г. № </w:t>
      </w:r>
      <w:r>
        <w:rPr>
          <w:rStyle w:val="FontStyle12"/>
          <w:rFonts w:eastAsia="Times New Roman"/>
          <w:sz w:val="28"/>
          <w:szCs w:val="28"/>
          <w:highlight w:val="white"/>
        </w:rPr>
        <w:t>250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  <w:highlight w:val="white"/>
        </w:rPr>
      </w:pPr>
      <w:r>
        <w:rPr/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охраняемым законом ценностям на 2023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            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       муниципальном контроле в Российской Федерации», постановлением Правительства Российской Федерации от 25 июня 2021 года № 990 «Об утверждении Правил              разработки и утверждения контрольными (надзорными) органами программы               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-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            рисков причинения вреда (ущерба) охраняемым законом ценностям при                   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bidi w:val="0"/>
        <w:spacing w:lineRule="auto" w:line="276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-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связи с вступлением в законную силу Правил в 2021 году, а также с тем, что до конца 2022 года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Постановлением Правительства Российской Федерации от 10.03.2022г. № 336 «Об особенностях организации и осуществления                                государственного контроля (надзора), муниципального контроля» </w:t>
      </w:r>
      <w:r>
        <w:rPr>
          <w:rFonts w:cs="Times New Roman" w:ascii="Times New Roman" w:hAnsi="Times New Roman"/>
          <w:color w:val="00000A"/>
          <w:sz w:val="28"/>
          <w:szCs w:val="28"/>
        </w:rPr>
        <w:t>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Гуково-Гнилушевского сельского пос</w:t>
      </w:r>
      <w:r>
        <w:rPr>
          <w:rFonts w:cs="Times New Roman" w:ascii="Times New Roman" w:hAnsi="Times New Roman"/>
          <w:color w:val="000000"/>
          <w:sz w:val="28"/>
          <w:szCs w:val="28"/>
        </w:rPr>
        <w:t>еления</w:t>
      </w:r>
      <w:r>
        <w:rPr>
          <w:rFonts w:cs="Times New Roman" w:ascii="Times New Roman" w:hAnsi="Times New Roman"/>
          <w:sz w:val="28"/>
          <w:szCs w:val="28"/>
        </w:rPr>
        <w:t>, Администрацией Гуково-Гнилушевского сельского поселения (далее - Администрация), в рамках указанных Правил не осуществлялась.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</w:t>
      </w:r>
      <w:r>
        <w:rPr>
          <w:rFonts w:ascii="Times New Roman" w:hAnsi="Times New Roman"/>
          <w:sz w:val="28"/>
          <w:szCs w:val="28"/>
        </w:rPr>
        <w:t>улуч</w:t>
      </w:r>
      <w:r>
        <w:rPr>
          <w:rFonts w:ascii="Times New Roman" w:hAnsi="Times New Roman"/>
          <w:sz w:val="28"/>
          <w:szCs w:val="28"/>
        </w:rPr>
        <w:t>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            муниципальном контроле в сфере благоустройства на территории Гуково-                       Гнилушевского сельского поселения, отнесены: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1)  информирование;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3)  консультирование.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         всеми контролируемыми лицами;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              установленных муниципальными правовыми актами, включая устранение причин, факторов и условий, способствующих возможному нарушению обязательных                требований;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Cs/>
          <w:sz w:val="28"/>
          <w:szCs w:val="28"/>
        </w:rPr>
        <w:t>5.Повышение открытости и прозрачности деятельности Администрации при осуществлении муниципального контроля в сфере благоустройства на территории 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                    исполнению;</w:t>
      </w:r>
    </w:p>
    <w:p>
      <w:pPr>
        <w:pStyle w:val="Normal"/>
        <w:bidi w:val="0"/>
        <w:spacing w:lineRule="auto" w:line="276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8"/>
        <w:contextualSpacing/>
        <w:jc w:val="both"/>
        <w:outlineLvl w:val="1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содержащих обязательные требования, соблюдение которых                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10320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4534"/>
        <w:gridCol w:w="2325"/>
        <w:gridCol w:w="2895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 мере появления оснований,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предусмотренных       законодательством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20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8"/>
        <w:gridCol w:w="6572"/>
        <w:gridCol w:w="3120"/>
      </w:tblGrid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г.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числа обратившихся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bookmarkStart w:id="3" w:name="_GoBack1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LibreOffice/5.3.3.2$Windows_x86 LibreOffice_project/3d9a8b4b4e538a85e0782bd6c2d430bafe583448</Application>
  <Pages>7</Pages>
  <Words>1095</Words>
  <Characters>8821</Characters>
  <CharactersWithSpaces>10456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2022-12-12T15:05:21Z</cp:lastPrinted>
  <dcterms:modified xsi:type="dcterms:W3CDTF">2022-12-12T15:11:19Z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