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false"/>
        <w:bidi w:val="0"/>
        <w:spacing w:lineRule="auto" w:line="360" w:before="240" w:after="120"/>
        <w:ind w:left="0" w:right="0" w:hanging="0"/>
        <w:jc w:val="center"/>
        <w:rPr/>
      </w:pPr>
      <w:r>
        <w:rPr>
          <w:rStyle w:val="Style11"/>
          <w:rFonts w:ascii="Trebuchet MS;Arial;Tahoma;Verdana;sans-serif" w:hAnsi="Trebuchet MS;Arial;Tahoma;Verdana;sans-serif"/>
          <w:b w:val="false"/>
          <w:i w:val="false"/>
          <w:caps w:val="false"/>
          <w:smallCaps w:val="false"/>
          <w:color w:val="22252D"/>
          <w:spacing w:val="0"/>
          <w:sz w:val="21"/>
          <w:szCs w:val="28"/>
          <w:lang w:eastAsia="ru-RU"/>
        </w:rPr>
        <w:t>Предельно максимальные розничные цены на сжиженный газ для населения в 2022 году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rebuchet MS;Arial;Tahoma;Verdana;sans-serif" w:hAnsi="Trebuchet MS;Arial;Tahoma;Verdana;sans-serif"/>
          <w:b w:val="false"/>
          <w:i w:val="false"/>
          <w:caps w:val="false"/>
          <w:smallCaps w:val="false"/>
          <w:color w:val="22252D"/>
          <w:spacing w:val="0"/>
          <w:sz w:val="21"/>
        </w:rPr>
        <w:t>Розничные цены на сжиженный газ для населения  на 2022 год установлены постановлением Региональной службы по тарифам Ростовской области </w:t>
      </w:r>
      <w:hyperlink r:id="rId2">
        <w:r>
          <w:rPr>
            <w:rStyle w:val="Style10"/>
            <w:rFonts w:ascii="Trebuchet MS;Arial;Tahoma;Verdana;sans-serif" w:hAnsi="Trebuchet MS;Arial;Tahoma;Verdana;sans-serif"/>
            <w:b w:val="false"/>
            <w:i w:val="false"/>
            <w:caps w:val="false"/>
            <w:smallCaps w:val="false"/>
            <w:color w:val="2B76B2"/>
            <w:spacing w:val="0"/>
            <w:sz w:val="21"/>
          </w:rPr>
          <w:t>от 16.12.2021 № 70/3 «Об установлении розничных цен на сжиженный газ, реализуемый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деятельности, на 2022 год»</w:t>
        </w:r>
      </w:hyperlink>
      <w:r>
        <w:rPr>
          <w:rFonts w:ascii="Trebuchet MS;Arial;Tahoma;Verdana;sans-serif" w:hAnsi="Trebuchet MS;Arial;Tahoma;Verdana;sans-serif"/>
          <w:b w:val="false"/>
          <w:i w:val="false"/>
          <w:caps w:val="false"/>
          <w:smallCaps w:val="false"/>
          <w:color w:val="22252D"/>
          <w:spacing w:val="0"/>
          <w:sz w:val="21"/>
        </w:rPr>
        <w:t> </w:t>
      </w:r>
      <w:hyperlink r:id="rId3">
        <w:r>
          <w:rPr>
            <w:rStyle w:val="Style10"/>
            <w:rFonts w:ascii="Trebuchet MS;Arial;Tahoma;Verdana;sans-serif" w:hAnsi="Trebuchet MS;Arial;Tahoma;Verdana;sans-serif"/>
            <w:b w:val="false"/>
            <w:i w:val="false"/>
            <w:caps w:val="false"/>
            <w:smallCaps w:val="false"/>
            <w:color w:val="2B76B2"/>
            <w:spacing w:val="0"/>
            <w:sz w:val="21"/>
          </w:rPr>
          <w:t>(приложение)</w:t>
        </w:r>
      </w:hyperlink>
      <w:r>
        <w:rPr>
          <w:rFonts w:ascii="Trebuchet MS;Arial;Tahoma;Verdana;sans-serif" w:hAnsi="Trebuchet MS;Arial;Tahoma;Verdana;sans-serif"/>
          <w:b w:val="false"/>
          <w:i w:val="false"/>
          <w:caps w:val="false"/>
          <w:smallCaps w:val="false"/>
          <w:color w:val="22252D"/>
          <w:spacing w:val="0"/>
          <w:sz w:val="21"/>
        </w:rPr>
        <w:t>, в следующих размерах:</w:t>
      </w:r>
    </w:p>
    <w:tbl>
      <w:tblPr>
        <w:tblW w:w="15135" w:type="dxa"/>
        <w:jc w:val="left"/>
        <w:tblInd w:w="210" w:type="dxa"/>
        <w:tblBorders>
          <w:top w:val="single" w:sz="2" w:space="0" w:color="E4E5E5"/>
          <w:left w:val="single" w:sz="2" w:space="0" w:color="E4E5E5"/>
          <w:bottom w:val="single" w:sz="2" w:space="0" w:color="E4E5E5"/>
          <w:right w:val="single" w:sz="2" w:space="0" w:color="E4E5E5"/>
          <w:insideH w:val="single" w:sz="2" w:space="0" w:color="E4E5E5"/>
          <w:insideV w:val="single" w:sz="2" w:space="0" w:color="E4E5E5"/>
        </w:tblBorders>
        <w:tblCellMar>
          <w:top w:w="105" w:type="dxa"/>
          <w:left w:w="209" w:type="dxa"/>
          <w:bottom w:w="105" w:type="dxa"/>
          <w:right w:w="210" w:type="dxa"/>
        </w:tblCellMar>
      </w:tblPr>
      <w:tblGrid>
        <w:gridCol w:w="964"/>
        <w:gridCol w:w="5666"/>
        <w:gridCol w:w="1935"/>
        <w:gridCol w:w="2145"/>
        <w:gridCol w:w="2325"/>
        <w:gridCol w:w="2100"/>
      </w:tblGrid>
      <w:tr>
        <w:trPr/>
        <w:tc>
          <w:tcPr>
            <w:tcW w:w="964" w:type="dxa"/>
            <w:vMerge w:val="restart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№</w:t>
            </w:r>
          </w:p>
        </w:tc>
        <w:tc>
          <w:tcPr>
            <w:tcW w:w="5666" w:type="dxa"/>
            <w:vMerge w:val="restart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Наименование организации</w:t>
            </w:r>
          </w:p>
        </w:tc>
        <w:tc>
          <w:tcPr>
            <w:tcW w:w="8505" w:type="dxa"/>
            <w:gridSpan w:val="4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Розничная цена, руб./кг*</w:t>
            </w:r>
          </w:p>
        </w:tc>
      </w:tr>
      <w:tr>
        <w:trPr/>
        <w:tc>
          <w:tcPr>
            <w:tcW w:w="964" w:type="dxa"/>
            <w:vMerge w:val="continue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6" w:type="dxa"/>
            <w:vMerge w:val="continue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80" w:type="dxa"/>
            <w:gridSpan w:val="2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реализация сжиженного газа в баллонах с места промежуточного хранения (склада)</w:t>
            </w:r>
          </w:p>
        </w:tc>
        <w:tc>
          <w:tcPr>
            <w:tcW w:w="4425" w:type="dxa"/>
            <w:gridSpan w:val="2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реализация сжиженного газа в баллонах с доставкой до потребителя</w:t>
            </w:r>
          </w:p>
        </w:tc>
      </w:tr>
      <w:tr>
        <w:trPr/>
        <w:tc>
          <w:tcPr>
            <w:tcW w:w="964" w:type="dxa"/>
            <w:vMerge w:val="continue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6" w:type="dxa"/>
            <w:vMerge w:val="continue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с 01.07.2022 по 31.12.2022**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с 01.01.2022 по 30.06.2022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с 01.07.2022 по 31.12.2022**</w:t>
            </w:r>
          </w:p>
        </w:tc>
      </w:tr>
      <w:tr>
        <w:trPr/>
        <w:tc>
          <w:tcPr>
            <w:tcW w:w="964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5666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ООО «ДГН» (ИНН 6150094778)</w:t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32,57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58,09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42,03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67,55</w:t>
            </w:r>
          </w:p>
        </w:tc>
      </w:tr>
      <w:tr>
        <w:trPr/>
        <w:tc>
          <w:tcPr>
            <w:tcW w:w="964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5666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в том числе транспортные расходы на доставку сжиженного газа в баллонах до потребителей**</w:t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9,46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9,46</w:t>
            </w:r>
          </w:p>
        </w:tc>
      </w:tr>
      <w:tr>
        <w:trPr/>
        <w:tc>
          <w:tcPr>
            <w:tcW w:w="964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5666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ООО «Лотос» (ИНН 6147000917)</w:t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31,34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58,65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34,53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61,84</w:t>
            </w:r>
          </w:p>
        </w:tc>
      </w:tr>
      <w:tr>
        <w:trPr/>
        <w:tc>
          <w:tcPr>
            <w:tcW w:w="964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5666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в том числе транспортные расходы на доставку сжиженного газа в баллонах до потребителей**</w:t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3,19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3,19</w:t>
            </w:r>
          </w:p>
        </w:tc>
      </w:tr>
      <w:tr>
        <w:trPr/>
        <w:tc>
          <w:tcPr>
            <w:tcW w:w="964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5666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ООО «ЮКСНА-ГАЗ» (ИНН 6107015120)</w:t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32,05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56,50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36,18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60,63</w:t>
            </w:r>
          </w:p>
        </w:tc>
      </w:tr>
      <w:tr>
        <w:trPr/>
        <w:tc>
          <w:tcPr>
            <w:tcW w:w="964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5666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в том числе транспортные расходы на доставку сжиженного газа в баллонах до потребителей**</w:t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4,13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center"/>
              <w:rPr/>
            </w:pPr>
            <w:r>
              <w:rPr/>
              <w:t>4,13</w:t>
            </w:r>
          </w:p>
        </w:tc>
      </w:tr>
      <w:tr>
        <w:trPr/>
        <w:tc>
          <w:tcPr>
            <w:tcW w:w="964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jc w:val="left"/>
              <w:rPr/>
            </w:pPr>
            <w:r>
              <w:rPr/>
              <w:t> </w:t>
            </w:r>
          </w:p>
        </w:tc>
        <w:tc>
          <w:tcPr>
            <w:tcW w:w="5666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jc w:val="left"/>
              <w:rPr/>
            </w:pPr>
            <w:r>
              <w:rPr/>
              <w:t> </w:t>
            </w:r>
          </w:p>
        </w:tc>
        <w:tc>
          <w:tcPr>
            <w:tcW w:w="193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jc w:val="left"/>
              <w:rPr/>
            </w:pPr>
            <w:r>
              <w:rPr/>
              <w:t> </w:t>
            </w:r>
          </w:p>
        </w:tc>
        <w:tc>
          <w:tcPr>
            <w:tcW w:w="214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jc w:val="left"/>
              <w:rPr/>
            </w:pPr>
            <w:r>
              <w:rPr/>
              <w:t> </w:t>
            </w:r>
          </w:p>
        </w:tc>
        <w:tc>
          <w:tcPr>
            <w:tcW w:w="2325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jc w:val="left"/>
              <w:rPr/>
            </w:pPr>
            <w:r>
              <w:rPr/>
              <w:t> </w:t>
            </w:r>
          </w:p>
        </w:tc>
        <w:tc>
          <w:tcPr>
            <w:tcW w:w="2100" w:type="dxa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15135" w:type="dxa"/>
            <w:gridSpan w:val="6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left"/>
              <w:rPr/>
            </w:pPr>
            <w:r>
              <w:rPr/>
              <w:t>* НДС не облагается</w:t>
            </w:r>
          </w:p>
          <w:p>
            <w:pPr>
              <w:pStyle w:val="Style19"/>
              <w:spacing w:before="0" w:after="283"/>
              <w:jc w:val="left"/>
              <w:rPr/>
            </w:pPr>
            <w:r>
              <w:rPr/>
              <w:t> </w:t>
            </w:r>
          </w:p>
          <w:p>
            <w:pPr>
              <w:pStyle w:val="Style19"/>
              <w:spacing w:before="0" w:after="283"/>
              <w:jc w:val="both"/>
              <w:rPr/>
            </w:pPr>
            <w:r>
              <w:rPr/>
              <w:t>** В целях соблюдения установленных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2022 год, установленных распоряжением Губернатора Ростовской области от 15.12.2021 № 324, с 01.07.2022 будет реализован механизм ограничения роста платы граждан за услугу по газоснабжению (поставку бытового газа в баллонах), рост платы за сжиженный газ для населения не превысит 105,4%.</w:t>
            </w:r>
          </w:p>
        </w:tc>
      </w:tr>
      <w:tr>
        <w:trPr/>
        <w:tc>
          <w:tcPr>
            <w:tcW w:w="15135" w:type="dxa"/>
            <w:gridSpan w:val="6"/>
            <w:tcBorders>
              <w:top w:val="single" w:sz="2" w:space="0" w:color="E4E5E5"/>
              <w:left w:val="single" w:sz="2" w:space="0" w:color="E4E5E5"/>
              <w:bottom w:val="single" w:sz="2" w:space="0" w:color="E4E5E5"/>
              <w:right w:val="single" w:sz="2" w:space="0" w:color="E4E5E5"/>
              <w:insideH w:val="single" w:sz="2" w:space="0" w:color="E4E5E5"/>
              <w:insideV w:val="single" w:sz="2" w:space="0" w:color="E4E5E5"/>
            </w:tcBorders>
            <w:shd w:fill="auto" w:val="clear"/>
            <w:tcMar>
              <w:left w:w="209" w:type="dxa"/>
            </w:tcMar>
            <w:vAlign w:val="center"/>
          </w:tcPr>
          <w:p>
            <w:pPr>
              <w:pStyle w:val="Style19"/>
              <w:spacing w:before="0" w:after="283"/>
              <w:jc w:val="both"/>
              <w:rPr/>
            </w:pPr>
            <w:r>
              <w:rPr/>
              <w:t>*** Величина транспортных расходов на доставку сжиженного газа в баллонах до потребителей, учтенных в розничных ценах на сжиженный газ, реализуемый 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</w:t>
            </w:r>
          </w:p>
        </w:tc>
      </w:tr>
    </w:tbl>
    <w:p>
      <w:pPr>
        <w:pStyle w:val="2"/>
        <w:widowControl/>
        <w:suppressAutoHyphens w:val="false"/>
        <w:bidi w:val="0"/>
        <w:spacing w:lineRule="auto" w:line="360" w:before="240" w:after="12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52D"/>
          <w:spacing w:val="0"/>
          <w:sz w:val="21"/>
        </w:rPr>
      </w:pPr>
      <w:r>
        <w:rPr/>
      </w:r>
    </w:p>
    <w:sectPr>
      <w:type w:val="nextPage"/>
      <w:pgSz w:orient="landscape" w:w="16838" w:h="11906"/>
      <w:pgMar w:left="850" w:right="85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Golos">
    <w:altName w:val="sans-serif"/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time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Style14"/>
    <w:qFormat/>
    <w:pPr/>
    <w:rPr/>
  </w:style>
  <w:style w:type="paragraph" w:styleId="2">
    <w:name w:val="Heading 2"/>
    <w:basedOn w:val="Style14"/>
    <w:qFormat/>
    <w:pPr/>
    <w:rPr/>
  </w:style>
  <w:style w:type="paragraph" w:styleId="3">
    <w:name w:val="Heading 3"/>
    <w:basedOn w:val="Style14"/>
    <w:qFormat/>
    <w:pPr/>
    <w:rPr/>
  </w:style>
  <w:style w:type="paragraph" w:styleId="4">
    <w:name w:val="Heading 4"/>
    <w:basedOn w:val="Style14"/>
    <w:qFormat/>
    <w:pPr/>
    <w:rPr/>
  </w:style>
  <w:style w:type="character" w:styleId="DefaultParagraphFont">
    <w:name w:val="Default Paragraph Font"/>
    <w:qFormat/>
    <w:rPr/>
  </w:style>
  <w:style w:type="character" w:styleId="Style10">
    <w:name w:val="Интернет-ссылка"/>
    <w:basedOn w:val="DefaultParagraphFont"/>
    <w:rPr>
      <w:color w:val="0000FF"/>
      <w:u w:val="single"/>
    </w:rPr>
  </w:style>
  <w:style w:type="character" w:styleId="Style11">
    <w:name w:val="Выделение жирным"/>
    <w:qFormat/>
    <w:rPr>
      <w:b/>
      <w:bCs/>
    </w:rPr>
  </w:style>
  <w:style w:type="character" w:styleId="Ins">
    <w:name w:val="ins"/>
    <w:qFormat/>
    <w:rPr/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qFormat/>
    <w:rPr>
      <w:i/>
      <w:iCs/>
    </w:rPr>
  </w:style>
  <w:style w:type="character" w:styleId="ListLabel1">
    <w:name w:val="ListLabel 1"/>
    <w:qFormat/>
    <w:rPr>
      <w:rFonts w:ascii="Golos;sans-serif" w:hAnsi="Golos;sans-serif" w:cs="OpenSymbol"/>
      <w:b w:val="false"/>
      <w:sz w:val="27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Golos;sans-serif" w:hAnsi="Golos;sans-serif" w:cs="OpenSymbol"/>
      <w:b w:val="false"/>
      <w:sz w:val="27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Golos;sans-serif" w:hAnsi="Golos;sans-serif" w:cs="OpenSymbol"/>
      <w:b w:val="false"/>
      <w:sz w:val="27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Golos;sans-serif" w:hAnsi="Golos;sans-serif" w:cs="OpenSymbol"/>
      <w:b w:val="false"/>
      <w:sz w:val="27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roboto;sans-serif" w:hAnsi="roboto;sans-serif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roboto;sans-serif" w:hAnsi="roboto;sans-serif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346">
    <w:name w:val="ListLabel 346"/>
    <w:qFormat/>
    <w:rPr>
      <w:strike w:val="false"/>
      <w:dstrike w:val="false"/>
      <w:u w:val="none"/>
      <w:effect w:val="none"/>
    </w:rPr>
  </w:style>
  <w:style w:type="character" w:styleId="ListLabel347">
    <w:name w:val="ListLabel 347"/>
    <w:qFormat/>
    <w:rPr>
      <w:strike w:val="false"/>
      <w:dstrike w:val="false"/>
      <w:u w:val="none"/>
      <w:effect w:val="none"/>
    </w:rPr>
  </w:style>
  <w:style w:type="character" w:styleId="ListLabel348">
    <w:name w:val="ListLabel 348"/>
    <w:qFormat/>
    <w:rPr>
      <w:strike w:val="false"/>
      <w:dstrike w:val="false"/>
      <w:u w:val="none"/>
      <w:effect w:val="none"/>
    </w:rPr>
  </w:style>
  <w:style w:type="character" w:styleId="ListLabel349">
    <w:name w:val="ListLabel 349"/>
    <w:qFormat/>
    <w:rPr>
      <w:strike w:val="false"/>
      <w:dstrike w:val="false"/>
      <w:u w:val="none"/>
      <w:effect w:val="none"/>
    </w:rPr>
  </w:style>
  <w:style w:type="character" w:styleId="ListLabel350">
    <w:name w:val="ListLabel 350"/>
    <w:qFormat/>
    <w:rPr>
      <w:strike w:val="false"/>
      <w:dstrike w:val="false"/>
      <w:u w:val="none"/>
      <w:effect w:val="none"/>
    </w:rPr>
  </w:style>
  <w:style w:type="character" w:styleId="ListLabel351">
    <w:name w:val="ListLabel 351"/>
    <w:qFormat/>
    <w:rPr>
      <w:strike w:val="false"/>
      <w:dstrike w:val="false"/>
      <w:u w:val="none"/>
      <w:effect w:val="none"/>
    </w:rPr>
  </w:style>
  <w:style w:type="character" w:styleId="ListLabel352">
    <w:name w:val="ListLabel 352"/>
    <w:qFormat/>
    <w:rPr>
      <w:strike w:val="false"/>
      <w:dstrike w:val="false"/>
      <w:u w:val="none"/>
      <w:effect w:val="none"/>
    </w:rPr>
  </w:style>
  <w:style w:type="character" w:styleId="ListLabel353">
    <w:name w:val="ListLabel 353"/>
    <w:qFormat/>
    <w:rPr>
      <w:strike w:val="false"/>
      <w:dstrike w:val="false"/>
      <w:u w:val="none"/>
      <w:effect w:val="none"/>
    </w:rPr>
  </w:style>
  <w:style w:type="character" w:styleId="ListLabel354">
    <w:name w:val="ListLabel 354"/>
    <w:qFormat/>
    <w:rPr>
      <w:strike w:val="false"/>
      <w:dstrike w:val="false"/>
      <w:u w:val="none"/>
      <w:effect w:val="none"/>
    </w:rPr>
  </w:style>
  <w:style w:type="character" w:styleId="ListLabel355">
    <w:name w:val="ListLabel 355"/>
    <w:qFormat/>
    <w:rPr>
      <w:rFonts w:ascii="Times New Roman" w:hAnsi="Times New Roman" w:cs="Wingdings"/>
      <w:strike w:val="false"/>
      <w:dstrike w:val="false"/>
      <w:u w:val="none"/>
      <w:effect w:val="none"/>
    </w:rPr>
  </w:style>
  <w:style w:type="character" w:styleId="ListLabel356">
    <w:name w:val="ListLabel 356"/>
    <w:qFormat/>
    <w:rPr>
      <w:rFonts w:cs="Wingdings 2"/>
      <w:strike w:val="false"/>
      <w:dstrike w:val="false"/>
      <w:u w:val="none"/>
      <w:effect w:val="none"/>
    </w:rPr>
  </w:style>
  <w:style w:type="character" w:styleId="ListLabel357">
    <w:name w:val="ListLabel 357"/>
    <w:qFormat/>
    <w:rPr>
      <w:rFonts w:cs="OpenSymbol"/>
      <w:strike w:val="false"/>
      <w:dstrike w:val="false"/>
      <w:u w:val="none"/>
      <w:effect w:val="none"/>
    </w:rPr>
  </w:style>
  <w:style w:type="character" w:styleId="ListLabel358">
    <w:name w:val="ListLabel 358"/>
    <w:qFormat/>
    <w:rPr>
      <w:rFonts w:cs="Wingdings"/>
      <w:strike w:val="false"/>
      <w:dstrike w:val="false"/>
      <w:u w:val="none"/>
      <w:effect w:val="none"/>
    </w:rPr>
  </w:style>
  <w:style w:type="character" w:styleId="ListLabel359">
    <w:name w:val="ListLabel 359"/>
    <w:qFormat/>
    <w:rPr>
      <w:rFonts w:cs="Wingdings 2"/>
      <w:strike w:val="false"/>
      <w:dstrike w:val="false"/>
      <w:u w:val="none"/>
      <w:effect w:val="none"/>
    </w:rPr>
  </w:style>
  <w:style w:type="character" w:styleId="ListLabel360">
    <w:name w:val="ListLabel 360"/>
    <w:qFormat/>
    <w:rPr>
      <w:rFonts w:cs="OpenSymbol"/>
      <w:strike w:val="false"/>
      <w:dstrike w:val="false"/>
      <w:u w:val="none"/>
      <w:effect w:val="none"/>
    </w:rPr>
  </w:style>
  <w:style w:type="character" w:styleId="ListLabel361">
    <w:name w:val="ListLabel 361"/>
    <w:qFormat/>
    <w:rPr>
      <w:rFonts w:cs="Wingdings"/>
      <w:strike w:val="false"/>
      <w:dstrike w:val="false"/>
      <w:u w:val="none"/>
      <w:effect w:val="none"/>
    </w:rPr>
  </w:style>
  <w:style w:type="character" w:styleId="ListLabel362">
    <w:name w:val="ListLabel 362"/>
    <w:qFormat/>
    <w:rPr>
      <w:rFonts w:cs="Wingdings 2"/>
      <w:strike w:val="false"/>
      <w:dstrike w:val="false"/>
      <w:u w:val="none"/>
      <w:effect w:val="none"/>
    </w:rPr>
  </w:style>
  <w:style w:type="character" w:styleId="ListLabel363">
    <w:name w:val="ListLabel 363"/>
    <w:qFormat/>
    <w:rPr>
      <w:rFonts w:cs="OpenSymbol"/>
      <w:strike w:val="false"/>
      <w:dstrike w:val="false"/>
      <w:u w:val="none"/>
      <w:effect w:val="none"/>
    </w:rPr>
  </w:style>
  <w:style w:type="character" w:styleId="ListLabel316">
    <w:name w:val="ListLabel 316"/>
    <w:qFormat/>
    <w:rPr>
      <w:sz w:val="26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6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64">
    <w:name w:val="ListLabel 364"/>
    <w:qFormat/>
    <w:rPr>
      <w:rFonts w:cs="Symbol"/>
      <w:sz w:val="26"/>
    </w:rPr>
  </w:style>
  <w:style w:type="character" w:styleId="ListLabel365">
    <w:name w:val="ListLabel 365"/>
    <w:qFormat/>
    <w:rPr>
      <w:rFonts w:cs="Courier New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Wingdings"/>
      <w:sz w:val="20"/>
    </w:rPr>
  </w:style>
  <w:style w:type="character" w:styleId="ListLabel371">
    <w:name w:val="ListLabel 371"/>
    <w:qFormat/>
    <w:rPr>
      <w:rFonts w:cs="Wingdings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Symbol"/>
      <w:sz w:val="26"/>
    </w:rPr>
  </w:style>
  <w:style w:type="character" w:styleId="ListLabel374">
    <w:name w:val="ListLabel 374"/>
    <w:qFormat/>
    <w:rPr>
      <w:rFonts w:cs="Courier New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Wingdings"/>
      <w:sz w:val="20"/>
    </w:rPr>
  </w:style>
  <w:style w:type="character" w:styleId="ListLabel380">
    <w:name w:val="ListLabel 380"/>
    <w:qFormat/>
    <w:rPr>
      <w:rFonts w:cs="Wingdings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ascii="Times New Roman" w:hAnsi="Times New Roman" w:cs="OpenSymbol"/>
      <w:b w:val="false"/>
      <w:sz w:val="24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ascii="Golos;sans-serif" w:hAnsi="Golos;sans-serif" w:cs="OpenSymbol"/>
      <w:b w:val="false"/>
      <w:sz w:val="27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ascii="Golos;sans-serif" w:hAnsi="Golos;sans-serif" w:cs="OpenSymbol"/>
      <w:b w:val="false"/>
      <w:sz w:val="27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ascii="Golos;sans-serif" w:hAnsi="Golos;sans-serif" w:cs="OpenSymbol"/>
      <w:b w:val="false"/>
      <w:sz w:val="27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ascii="Golos;sans-serif" w:hAnsi="Golos;sans-serif" w:cs="OpenSymbol"/>
      <w:b w:val="false"/>
      <w:sz w:val="27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ascii="Golos;sans-serif" w:hAnsi="Golos;sans-serif" w:cs="OpenSymbol"/>
      <w:b w:val="false"/>
      <w:sz w:val="27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ascii="times new roman;times;serif" w:hAnsi="times new roman;times;serif" w:cs="OpenSymbol"/>
      <w:b w:val="false"/>
      <w:sz w:val="28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Содержимое списка"/>
    <w:basedOn w:val="Normal"/>
    <w:qFormat/>
    <w:pPr/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eastAsia="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lang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st.donland.ru/upload/uf/a97/kxxrwn2720tx9qvwarbz4ewjd8jada4r/70_3.doc" TargetMode="External"/><Relationship Id="rId3" Type="http://schemas.openxmlformats.org/officeDocument/2006/relationships/hyperlink" Target="https://rst.donland.ru/upload/uf/d19/db53mgzhgh09tq9jhuhcdn7cn6ahhkyc/70_3.xl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LibreOffice/5.3.3.2$Windows_x86 LibreOffice_project/3d9a8b4b4e538a85e0782bd6c2d430bafe583448</Application>
  <Pages>2</Pages>
  <Words>287</Words>
  <Characters>1812</Characters>
  <CharactersWithSpaces>2064</CharactersWithSpaces>
  <Paragraphs>57</Paragraphs>
  <Company>Администрация Гуково-Гнилушевского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2019-04-02T08:43:00Z</dcterms:created>
  <dc:creator>User</dc:creator>
  <dc:description/>
  <dc:language>ru-RU</dc:language>
  <cp:lastModifiedBy/>
  <cp:lastPrinted>2021-12-27T15:50:01Z</cp:lastPrinted>
  <dcterms:modified xsi:type="dcterms:W3CDTF">2022-02-02T13:33:37Z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