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РОСТОВСКАЯ ОБЛАСТЬ</w:t>
        <w:br/>
        <w:t>КРАСНОСУЛИНСКИЙ РАЙОН</w:t>
      </w:r>
    </w:p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</w:t>
        <w:br/>
        <w:t xml:space="preserve">ГУКОВО-ГНИЛУШЕВСКОГО </w:t>
      </w:r>
    </w:p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СЕЛЬСКОГО ПОСЕЛЕНИЯ</w:t>
      </w:r>
    </w:p>
    <w:p>
      <w:pPr>
        <w:pStyle w:val="Normal"/>
        <w:ind w:firstLine="28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tabs>
          <w:tab w:val="left" w:pos="2359" w:leader="none"/>
          <w:tab w:val="center" w:pos="3686" w:leader="none"/>
          <w:tab w:val="right" w:pos="7938" w:leader="none"/>
        </w:tabs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10.01.2022г.</w:t>
        <w:tab/>
        <w:tab/>
        <w:t xml:space="preserve">                             № 8  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х. Гуково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«Об утверждении Программы профилактики,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рисков причинения вреда (ущерба), охраняемым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законом ценностям на 2022 год по </w:t>
      </w: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муниципальному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контролю в сфере благоустройства на территории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Гуково-Гнилушевского сельского поселения»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ст.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44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Постановлением</w:t>
      </w:r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06.10.2003г.  № 131-ФЗ «Об общих принципах организации местного самоуправления в Российской Федерации»,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>
      <w:pPr>
        <w:pStyle w:val="Normal"/>
        <w:spacing w:lineRule="auto" w:line="36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по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муниципальному контролю в сфере благоустройства</w:t>
      </w:r>
      <w:r>
        <w:rPr>
          <w:rFonts w:cs="Times New Roman" w:ascii="Times New Roman" w:hAnsi="Times New Roman"/>
          <w:sz w:val="28"/>
          <w:szCs w:val="28"/>
        </w:rPr>
        <w:t xml:space="preserve"> на территории Гуково-Гнилушевского сельского поселения (Приложение № 1).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 подлежит опубликованию (обнародованию)  путем размещения на официальном сайте Администрации Гуково-Гнилушевского сельского поселения в информационно-телекоммуникационной сети «Интернет».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before="0" w:after="0"/>
        <w:ind w:left="0" w:hanging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Гуково-Гнилушевского </w:t>
      </w:r>
    </w:p>
    <w:p>
      <w:pPr>
        <w:pStyle w:val="Style22"/>
        <w:numPr>
          <w:ilvl w:val="0"/>
          <w:numId w:val="0"/>
        </w:numPr>
        <w:spacing w:before="0" w:after="0"/>
        <w:ind w:left="0" w:hanging="0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 xml:space="preserve">                                                       С.В. Филенко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Постановление вносит: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Специалист 1 категории по благоустройству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Круду Е.Н.</w:t>
      </w:r>
    </w:p>
    <w:p>
      <w:pPr>
        <w:pStyle w:val="Normal"/>
        <w:numPr>
          <w:ilvl w:val="0"/>
          <w:numId w:val="0"/>
        </w:numPr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outlineLvl w:val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outlineLvl w:val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Приложение №1  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Гуково-Гнилушевского сельского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поселения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/>
      </w:pPr>
      <w:r>
        <w:rPr>
          <w:rStyle w:val="FontStyle12"/>
          <w:rFonts w:eastAsia="Times New Roman"/>
          <w:sz w:val="28"/>
          <w:szCs w:val="28"/>
          <w:highlight w:val="white"/>
        </w:rPr>
        <w:t>от 10.01.2022г. № 8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cs="Times New Roman" w:ascii="Times New Roman" w:hAnsi="Times New Roman"/>
          <w:b/>
          <w:sz w:val="28"/>
          <w:szCs w:val="28"/>
        </w:rPr>
        <w:t xml:space="preserve">профилактики рисков причинения вреда (ущерба), охраняемым законом ценностям на 2022 год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муниципальному контролю в сфере благоустройства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 территории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Гуково-Гнилушевского сельского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поселения</w:t>
      </w:r>
    </w:p>
    <w:p>
      <w:pPr>
        <w:pStyle w:val="Normal"/>
        <w:spacing w:lineRule="exact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Par94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cs="Times New Roman" w:ascii="Times New Roman" w:hAnsi="Times New Roman"/>
          <w:sz w:val="28"/>
          <w:szCs w:val="28"/>
        </w:rPr>
        <w:t>(далее – Правила)</w:t>
      </w:r>
      <w:r>
        <w:rPr>
          <w:rFonts w:ascii="Times New Roman" w:hAnsi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 территории </w:t>
      </w:r>
      <w:r>
        <w:rPr>
          <w:rFonts w:cs="Times New Roman" w:ascii="Times New Roman" w:hAnsi="Times New Roman"/>
          <w:sz w:val="28"/>
          <w:szCs w:val="28"/>
        </w:rPr>
        <w:t xml:space="preserve">Гуково-Гнилушевского сельского </w:t>
      </w:r>
      <w:r>
        <w:rPr>
          <w:rFonts w:cs="Times New Roman" w:ascii="Times New Roman" w:hAnsi="Times New Roman"/>
          <w:color w:val="000000"/>
          <w:sz w:val="28"/>
          <w:szCs w:val="28"/>
        </w:rPr>
        <w:t>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Правил благоустройства территории </w:t>
      </w:r>
      <w:r>
        <w:rPr>
          <w:rFonts w:cs="Times New Roman" w:ascii="Times New Roman" w:hAnsi="Times New Roman"/>
          <w:sz w:val="28"/>
          <w:szCs w:val="28"/>
        </w:rPr>
        <w:t>Гуково-Гнилушевского сельского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поселения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(далее – Правила благоустройства)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благоустройства на территории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Гуково-Гнилушевского сельского </w:t>
      </w:r>
      <w:r>
        <w:rPr>
          <w:rFonts w:cs="Times New Roman" w:ascii="Times New Roman" w:hAnsi="Times New Roman"/>
          <w:color w:val="000000"/>
          <w:sz w:val="28"/>
          <w:szCs w:val="28"/>
        </w:rPr>
        <w:t>поселения</w:t>
      </w:r>
      <w:r>
        <w:rPr>
          <w:rFonts w:cs="Times New Roman" w:ascii="Times New Roman" w:hAnsi="Times New Roman"/>
          <w:sz w:val="28"/>
          <w:szCs w:val="28"/>
        </w:rPr>
        <w:t>, Администрацией Гуково-Гнилушевского сельского поселения (далее – Администрация) в рамках указанных Правил не осуществлялась.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числу профилактических мероприятий, предусмотренных положением о муниципальном контроле в сфере благоустройства на территории Красносулинского городского поселения, отнесены: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информирование;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2)объявление предостережения </w:t>
      </w:r>
      <w:r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консультирование.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" w:name="Par175"/>
      <w:bookmarkEnd w:id="1"/>
      <w:r>
        <w:rPr>
          <w:rFonts w:cs="Times New Roman"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>
        <w:rPr>
          <w:rFonts w:cs="Times New Roman" w:ascii="Times New Roman" w:hAnsi="Times New Roman"/>
          <w:color w:val="000000"/>
          <w:sz w:val="28"/>
          <w:szCs w:val="28"/>
        </w:rPr>
        <w:t>Красносулинского городского поселения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both"/>
        <w:outlineLvl w:val="2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3"/>
        <w:suppressAutoHyphens w:val="false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" w:ascii="Times New Roman" w:hAnsi="Times New Roman" w:eastAsiaTheme="minorEastAsia"/>
          <w:bCs/>
          <w:sz w:val="28"/>
          <w:szCs w:val="28"/>
          <w:lang w:eastAsia="ru-RU"/>
        </w:rPr>
        <w:t>1.</w:t>
      </w: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contextualSpacing/>
        <w:jc w:val="both"/>
        <w:outlineLvl w:val="1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1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1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</w:r>
    </w:p>
    <w:tbl>
      <w:tblPr>
        <w:tblW w:w="941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6"/>
        <w:gridCol w:w="3606"/>
        <w:gridCol w:w="2126"/>
        <w:gridCol w:w="3119"/>
      </w:tblGrid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п/п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Ответственное лицо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sPlusNormal"/>
              <w:spacing w:lineRule="auto" w:line="240"/>
              <w:ind w:right="13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Информирование</w:t>
            </w:r>
          </w:p>
          <w:p>
            <w:pPr>
              <w:pStyle w:val="ConsPlusNormal"/>
              <w:spacing w:lineRule="auto" w:line="240"/>
              <w:ind w:right="13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Главный специалист по правовой и кадровой работе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 1 категории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sPlusNormal"/>
              <w:spacing w:lineRule="auto" w:line="240"/>
              <w:ind w:right="13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Консультирование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Главный специалист по правовой и кадровой работе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 1 категории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sPlusNormal"/>
              <w:spacing w:lineRule="auto" w:line="240"/>
              <w:ind w:right="131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Объявление предостережения</w:t>
            </w:r>
          </w:p>
          <w:p>
            <w:pPr>
              <w:pStyle w:val="ConsPlusNormal"/>
              <w:spacing w:lineRule="auto" w:line="240"/>
              <w:ind w:right="13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По мере появления оснований, предусмотрен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ных законодательством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Главный специалист по правовой и кадровой работе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 1 категории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contextualSpacing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17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29"/>
        <w:gridCol w:w="6236"/>
        <w:gridCol w:w="2552"/>
      </w:tblGrid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Величина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100%, от числа обратившихся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100%,при подтверждении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771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6628d4"/>
    <w:pPr>
      <w:keepNext/>
      <w:spacing w:lineRule="auto" w:line="240" w:before="240" w:after="60"/>
      <w:jc w:val="center"/>
      <w:outlineLvl w:val="0"/>
    </w:pPr>
    <w:rPr>
      <w:rFonts w:ascii="Times New Roman" w:hAnsi="Times New Roman" w:eastAsia="Times New Roman" w:cs="Times New Roman"/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fb68ce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6628d4"/>
    <w:rPr>
      <w:rFonts w:ascii="Times New Roman" w:hAnsi="Times New Roman" w:eastAsia="Times New Roman" w:cs="Times New Roman"/>
      <w:b/>
      <w:sz w:val="36"/>
      <w:szCs w:val="20"/>
    </w:rPr>
  </w:style>
  <w:style w:type="character" w:styleId="12" w:customStyle="1">
    <w:name w:val="Основной текст1"/>
    <w:basedOn w:val="DefaultParagraphFont"/>
    <w:qFormat/>
    <w:rsid w:val="006628d4"/>
    <w:rPr>
      <w:color w:val="000000"/>
      <w:spacing w:val="2"/>
      <w:w w:val="100"/>
      <w:sz w:val="25"/>
      <w:szCs w:val="25"/>
      <w:shd w:fill="FFFFFF" w:val="clear"/>
      <w:lang w:val="ru-RU"/>
    </w:rPr>
  </w:style>
  <w:style w:type="character" w:styleId="Strong">
    <w:name w:val="Strong"/>
    <w:basedOn w:val="DefaultParagraphFont"/>
    <w:uiPriority w:val="22"/>
    <w:qFormat/>
    <w:rsid w:val="006628d4"/>
    <w:rPr>
      <w:b/>
      <w:bCs/>
    </w:rPr>
  </w:style>
  <w:style w:type="character" w:styleId="Style14">
    <w:name w:val="Выделение"/>
    <w:uiPriority w:val="20"/>
    <w:qFormat/>
    <w:rsid w:val="00574194"/>
    <w:rPr>
      <w:i/>
      <w:iCs/>
    </w:rPr>
  </w:style>
  <w:style w:type="character" w:styleId="FontStyle59" w:customStyle="1">
    <w:name w:val="Font Style59"/>
    <w:qFormat/>
    <w:rsid w:val="00574194"/>
    <w:rPr>
      <w:rFonts w:ascii="Times New Roman" w:hAnsi="Times New Roman" w:cs="Times New Roman"/>
      <w:sz w:val="22"/>
      <w:szCs w:val="22"/>
    </w:rPr>
  </w:style>
  <w:style w:type="character" w:styleId="FontStyle12" w:customStyle="1">
    <w:name w:val="Font Style12"/>
    <w:uiPriority w:val="99"/>
    <w:qFormat/>
    <w:rsid w:val="00272f41"/>
    <w:rPr>
      <w:rFonts w:ascii="Times New Roman" w:hAnsi="Times New Roman" w:cs="Times New Roman"/>
      <w:sz w:val="26"/>
      <w:szCs w:val="26"/>
    </w:rPr>
  </w:style>
  <w:style w:type="character" w:styleId="ConsPlusNormal1" w:customStyle="1">
    <w:name w:val="ConsPlusNormal1"/>
    <w:link w:val="ConsPlusNormal"/>
    <w:qFormat/>
    <w:locked/>
    <w:rsid w:val="00d94a5d"/>
    <w:rPr>
      <w:rFonts w:ascii="Arial" w:hAnsi="Arial" w:eastAsia="Times New Roman" w:cs="Arial"/>
      <w:sz w:val="20"/>
      <w:szCs w:val="20"/>
    </w:rPr>
  </w:style>
  <w:style w:type="character" w:styleId="Style15" w:customStyle="1">
    <w:name w:val="Абзац списка Знак"/>
    <w:link w:val="12"/>
    <w:uiPriority w:val="99"/>
    <w:qFormat/>
    <w:locked/>
    <w:rsid w:val="00067521"/>
    <w:rPr>
      <w:rFonts w:ascii="Calibri" w:hAnsi="Calibri" w:eastAsia="Calibri" w:cs="Times New Roman"/>
      <w:sz w:val="20"/>
      <w:szCs w:val="20"/>
      <w:lang w:eastAsia="ar-SA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4c4c0e"/>
    <w:rPr>
      <w:rFonts w:ascii="Courier New" w:hAnsi="Courier New" w:eastAsia="Times New Roman" w:cs="Times New Roman"/>
      <w:sz w:val="20"/>
      <w:szCs w:val="20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a63eb3"/>
    <w:rPr>
      <w:rFonts w:ascii="Times New Roman" w:hAnsi="Times New Roman" w:eastAsia="Times New Roman" w:cs="Times New Roman"/>
      <w:sz w:val="20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43c3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fb68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628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link w:val="ConsPlusNormal1"/>
    <w:qFormat/>
    <w:rsid w:val="00d94a5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13" w:customStyle="1">
    <w:name w:val="Абзац списка1"/>
    <w:basedOn w:val="Normal"/>
    <w:link w:val="a9"/>
    <w:uiPriority w:val="99"/>
    <w:qFormat/>
    <w:rsid w:val="00067521"/>
    <w:pPr>
      <w:suppressAutoHyphens w:val="true"/>
      <w:spacing w:lineRule="auto" w:line="240" w:before="0" w:after="0"/>
      <w:ind w:left="720" w:hanging="0"/>
    </w:pPr>
    <w:rPr>
      <w:rFonts w:ascii="Calibri" w:hAnsi="Calibri" w:eastAsia="Calibri" w:cs="Times New Roman"/>
      <w:sz w:val="20"/>
      <w:szCs w:val="20"/>
      <w:lang w:eastAsia="ar-SA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4c4c0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Style22">
    <w:name w:val="Body Text Indent"/>
    <w:basedOn w:val="Normal"/>
    <w:link w:val="ab"/>
    <w:rsid w:val="00a63eb3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BB6F-1565-41CE-AED4-B3C4DB53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LibreOffice/5.3.3.2$Windows_x86 LibreOffice_project/3d9a8b4b4e538a85e0782bd6c2d430bafe583448</Application>
  <Pages>7</Pages>
  <Words>1050</Words>
  <Characters>8496</Characters>
  <CharactersWithSpaces>9617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2021-11-24T08:25:00Z</dcterms:created>
  <dc:creator>sherbakova.y</dc:creator>
  <dc:description/>
  <dc:language>ru-RU</dc:language>
  <cp:lastModifiedBy/>
  <cp:lastPrinted>2022-02-04T09:09:34Z</cp:lastPrinted>
  <dcterms:modified xsi:type="dcterms:W3CDTF">2022-02-04T11:35:36Z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