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right"/>
        <w:rPr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bCs/>
          <w:sz w:val="44"/>
          <w:szCs w:val="44"/>
          <w:u w:val="single"/>
        </w:rPr>
        <w:t>ПРОЕКТ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«___» ________ 2022г.                        № ___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2023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Специалист первой категории по благоустройству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Круду Е.Н.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bookmarkStart w:id="0" w:name="__DdeLink__367_3800544379"/>
      <w:bookmarkEnd w:id="0"/>
      <w:r>
        <w:rPr>
          <w:rStyle w:val="FontStyle12"/>
          <w:rFonts w:eastAsia="Times New Roman"/>
          <w:sz w:val="28"/>
          <w:szCs w:val="28"/>
          <w:highlight w:val="white"/>
        </w:rPr>
        <w:t>от «__» _________ 2022г. № 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охраняемым законом ценностям на 2023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            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       муниципальном контроле в Российской Федерации», постановлением Правительства Российской Федерации от 25 июня 2021 года № 990 «Об утверждении Правил              разработки и утверждения контрольными (надзорными) органами программы               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 xml:space="preserve">(далее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            рисков причинения вреда (ущерба) охраняемым законом ценностям при                   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bidi w:val="0"/>
        <w:spacing w:lineRule="auto" w:line="276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обязательные требования).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связи с вступлением в законную силу Правил в 2021 году,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а также с тем, что до конца 2022 года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Постановлением Правительства Российской Федерации от 10.03.2022г. № 336 «Об особенностях организации и осуществления                                государственного контроля (надзора), муниципального контроля» </w:t>
      </w:r>
      <w:r>
        <w:rPr>
          <w:rFonts w:cs="Times New Roman" w:ascii="Times New Roman" w:hAnsi="Times New Roman"/>
          <w:color w:val="auto"/>
          <w:sz w:val="28"/>
          <w:szCs w:val="28"/>
        </w:rPr>
        <w:t>введен мораторий на осуществление государственного контроля (надзора), муниципального контроля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профилактическая деятельность при осуществлении муниципального контроля в сфере благоустройства на территории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auto"/>
          <w:sz w:val="28"/>
          <w:szCs w:val="28"/>
        </w:rPr>
        <w:t>пос</w:t>
      </w:r>
      <w:r>
        <w:rPr>
          <w:rFonts w:cs="Times New Roman" w:ascii="Times New Roman" w:hAnsi="Times New Roman"/>
          <w:color w:val="000000"/>
          <w:sz w:val="28"/>
          <w:szCs w:val="28"/>
        </w:rPr>
        <w:t>еления</w:t>
      </w:r>
      <w:r>
        <w:rPr>
          <w:rFonts w:cs="Times New Roman" w:ascii="Times New Roman" w:hAnsi="Times New Roman"/>
          <w:sz w:val="28"/>
          <w:szCs w:val="28"/>
        </w:rPr>
        <w:t xml:space="preserve">, Администрацией Гуково-Гнилушевского сельского поселения (далее </w:t>
      </w:r>
      <w:r>
        <w:rPr>
          <w:rFonts w:cs="Times New Roman" w:ascii="Times New Roman" w:hAnsi="Times New Roman"/>
          <w:sz w:val="28"/>
          <w:szCs w:val="28"/>
        </w:rPr>
        <w:t xml:space="preserve">-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Администрация), в рамках указанных Правил не осуществлялась.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          побуждение контролируемых лиц к добросовестности, будет способствовать                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              сфере.  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            муниципальном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Гуково-                       Гнилушевского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1)  информирование;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3)  консультирование.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 </w:t>
      </w: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всеми контролируемыми лицами;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              установленных муниципальными правовыми актами, включая устранение причин, факторов и условий, способствующих возможному нарушению обязательных                требований;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                    исполнению;</w:t>
      </w:r>
    </w:p>
    <w:p>
      <w:pPr>
        <w:pStyle w:val="Normal"/>
        <w:bidi w:val="0"/>
        <w:spacing w:lineRule="auto" w:line="276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8"/>
        <w:contextualSpacing/>
        <w:jc w:val="both"/>
        <w:outlineLvl w:val="1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«Интернет» на официальном сайте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А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дминистрации размещены нормативные правовые акты, содержащих обязательные требования, соблюдение которых                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1032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4534"/>
        <w:gridCol w:w="2325"/>
        <w:gridCol w:w="2895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первой              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первой              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 мере появления оснований,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предусмотренных       законодательством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первой              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2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571"/>
        <w:gridCol w:w="3120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г.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bookmarkStart w:id="3" w:name="_GoBack1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LibreOffice/5.3.3.2$Windows_x86 LibreOffice_project/3d9a8b4b4e538a85e0782bd6c2d430bafe583448</Application>
  <Pages>7</Pages>
  <Words>1097</Words>
  <Characters>8820</Characters>
  <CharactersWithSpaces>10515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2022-02-10T10:22:16Z</cp:lastPrinted>
  <dcterms:modified xsi:type="dcterms:W3CDTF">2022-10-24T11:19:11Z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